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4054D47C" w:rsidR="001E64D0" w:rsidRPr="000E1A0D" w:rsidRDefault="00ED118C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К.Б. Полнов</w:t>
            </w:r>
          </w:p>
          <w:p w14:paraId="64674E52" w14:textId="70CCC2F6" w:rsidR="001E64D0" w:rsidRPr="00F5785B" w:rsidRDefault="00ED118C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«___» __________ 2017</w:t>
            </w:r>
            <w:r w:rsidR="001E64D0" w:rsidRPr="000E1A0D">
              <w:rPr>
                <w:rFonts w:ascii="Times New Roman" w:hAnsi="Times New Roman"/>
                <w:b w:val="0"/>
                <w:sz w:val="24"/>
                <w:szCs w:val="24"/>
              </w:rPr>
              <w:t xml:space="preserve">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604DBFE" w14:textId="77777777" w:rsidR="00870B50" w:rsidRPr="002A1BE3" w:rsidRDefault="00870B50" w:rsidP="0087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>ДОКУМЕНТАЦИЯ О ТОРГАХ</w:t>
      </w:r>
    </w:p>
    <w:p w14:paraId="537855E5" w14:textId="2A378678" w:rsidR="00870B50" w:rsidRPr="00F5785B" w:rsidRDefault="00870B50" w:rsidP="0087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ДОГОВОРА НА </w:t>
      </w:r>
      <w:r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18C">
        <w:rPr>
          <w:rFonts w:ascii="Times New Roman" w:hAnsi="Times New Roman" w:cs="Times New Roman"/>
          <w:sz w:val="24"/>
          <w:szCs w:val="24"/>
        </w:rPr>
        <w:t xml:space="preserve">ВСЕВОЛОЖСКОГО И </w:t>
      </w:r>
      <w:r>
        <w:rPr>
          <w:rFonts w:ascii="Times New Roman" w:hAnsi="Times New Roman"/>
          <w:sz w:val="24"/>
          <w:szCs w:val="24"/>
        </w:rPr>
        <w:t xml:space="preserve">ЛУЖСКОГО </w:t>
      </w:r>
      <w:r w:rsidRPr="00B47244">
        <w:rPr>
          <w:rFonts w:ascii="Times New Roman" w:hAnsi="Times New Roman"/>
          <w:sz w:val="24"/>
          <w:szCs w:val="24"/>
        </w:rPr>
        <w:t>МУНИЦИПАЛЬН</w:t>
      </w:r>
      <w:r w:rsidR="00ED118C">
        <w:rPr>
          <w:rFonts w:ascii="Times New Roman" w:hAnsi="Times New Roman"/>
          <w:sz w:val="24"/>
          <w:szCs w:val="24"/>
        </w:rPr>
        <w:t>ЫХ</w:t>
      </w:r>
      <w:r w:rsidRPr="00F5785B">
        <w:rPr>
          <w:rFonts w:ascii="Times New Roman" w:hAnsi="Times New Roman"/>
          <w:sz w:val="24"/>
          <w:szCs w:val="24"/>
        </w:rPr>
        <w:t xml:space="preserve"> РАЙОН</w:t>
      </w:r>
      <w:r w:rsidR="00ED118C">
        <w:rPr>
          <w:rFonts w:ascii="Times New Roman" w:hAnsi="Times New Roman"/>
          <w:sz w:val="24"/>
          <w:szCs w:val="24"/>
        </w:rPr>
        <w:t>ОВ</w:t>
      </w:r>
      <w:r w:rsidRPr="00F5785B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25F3B0D1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ED118C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26D37DA1" w:rsidR="00B8300B" w:rsidRPr="009A60A1" w:rsidRDefault="00BC331E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46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9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Par451"/>
      <w:bookmarkEnd w:id="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66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71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8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8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94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24AF28C6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0" w:name="Par507"/>
      <w:bookmarkEnd w:id="10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1" w:name="Par509"/>
      <w:bookmarkEnd w:id="1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15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21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30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5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50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7" w:name="Par567"/>
      <w:bookmarkEnd w:id="1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8" w:name="Par571"/>
      <w:bookmarkEnd w:id="1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80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0CD76BA6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 w:rsidR="00ED11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</w:t>
      </w:r>
      <w:bookmarkStart w:id="20" w:name="_GoBack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18C749F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</w:t>
      </w:r>
      <w:r w:rsidR="00DD3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21820CBA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(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B211E8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B211E8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BAB1C" w14:textId="77777777" w:rsidR="005A26F9" w:rsidRDefault="005A26F9" w:rsidP="0003776B">
      <w:pPr>
        <w:spacing w:after="0" w:line="240" w:lineRule="auto"/>
      </w:pPr>
      <w:r>
        <w:separator/>
      </w:r>
    </w:p>
  </w:endnote>
  <w:endnote w:type="continuationSeparator" w:id="0">
    <w:p w14:paraId="64639A31" w14:textId="77777777" w:rsidR="005A26F9" w:rsidRDefault="005A26F9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FB1F55" w:rsidRDefault="00FB1F5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FB1F55" w:rsidRDefault="00FB1F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18C">
          <w:rPr>
            <w:noProof/>
          </w:rPr>
          <w:t>8</w:t>
        </w:r>
        <w:r>
          <w:fldChar w:fldCharType="end"/>
        </w:r>
      </w:p>
    </w:sdtContent>
  </w:sdt>
  <w:p w14:paraId="12BE9F70" w14:textId="77777777" w:rsidR="00FB1F55" w:rsidRDefault="00FB1F5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FB1F55" w:rsidRDefault="00FB1F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416AB" w14:textId="77777777" w:rsidR="005A26F9" w:rsidRDefault="005A26F9" w:rsidP="0003776B">
      <w:pPr>
        <w:spacing w:after="0" w:line="240" w:lineRule="auto"/>
      </w:pPr>
      <w:r>
        <w:separator/>
      </w:r>
    </w:p>
  </w:footnote>
  <w:footnote w:type="continuationSeparator" w:id="0">
    <w:p w14:paraId="21322520" w14:textId="77777777" w:rsidR="005A26F9" w:rsidRDefault="005A26F9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FB1F55" w:rsidRDefault="00FB1F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FB1F55" w:rsidRDefault="00FB1F5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FB1F55" w:rsidRDefault="00FB1F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3E0D82"/>
    <w:rsid w:val="0040748F"/>
    <w:rsid w:val="0047057C"/>
    <w:rsid w:val="00484D03"/>
    <w:rsid w:val="00491367"/>
    <w:rsid w:val="004D6318"/>
    <w:rsid w:val="005058F1"/>
    <w:rsid w:val="00517516"/>
    <w:rsid w:val="005276EC"/>
    <w:rsid w:val="00552136"/>
    <w:rsid w:val="0057416B"/>
    <w:rsid w:val="005A26F9"/>
    <w:rsid w:val="00655EE1"/>
    <w:rsid w:val="006B44A3"/>
    <w:rsid w:val="006E29AB"/>
    <w:rsid w:val="006E4ABA"/>
    <w:rsid w:val="00704CE4"/>
    <w:rsid w:val="0072050C"/>
    <w:rsid w:val="00796B83"/>
    <w:rsid w:val="00835B11"/>
    <w:rsid w:val="008424E4"/>
    <w:rsid w:val="008428D5"/>
    <w:rsid w:val="008617A4"/>
    <w:rsid w:val="00870B50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211E8"/>
    <w:rsid w:val="00B8300B"/>
    <w:rsid w:val="00BA6550"/>
    <w:rsid w:val="00BB48E0"/>
    <w:rsid w:val="00BC331E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D3E95"/>
    <w:rsid w:val="00DE006B"/>
    <w:rsid w:val="00DF1E95"/>
    <w:rsid w:val="00DF5B32"/>
    <w:rsid w:val="00E343F9"/>
    <w:rsid w:val="00E37FFB"/>
    <w:rsid w:val="00E624F7"/>
    <w:rsid w:val="00E820C3"/>
    <w:rsid w:val="00E8298E"/>
    <w:rsid w:val="00ED118C"/>
    <w:rsid w:val="00ED40FC"/>
    <w:rsid w:val="00F41950"/>
    <w:rsid w:val="00F434BA"/>
    <w:rsid w:val="00F741B2"/>
    <w:rsid w:val="00F770A6"/>
    <w:rsid w:val="00F95E51"/>
    <w:rsid w:val="00FA6069"/>
    <w:rsid w:val="00FB1F55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FDC6FC"/>
  <w15:docId w15:val="{75C68974-B790-47FC-A65A-9E2B7D95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3BFF0-662F-42E1-BAE8-45847CD9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11669</Words>
  <Characters>66514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7</cp:revision>
  <cp:lastPrinted>2017-01-10T12:15:00Z</cp:lastPrinted>
  <dcterms:created xsi:type="dcterms:W3CDTF">2016-10-27T14:05:00Z</dcterms:created>
  <dcterms:modified xsi:type="dcterms:W3CDTF">2017-01-10T12:15:00Z</dcterms:modified>
</cp:coreProperties>
</file>