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BEC307E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 w:rsidR="000B2CD9"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DB7AEBC" w14:textId="01AEF8BC" w:rsidR="00E624F7" w:rsidRPr="002A1BE3" w:rsidRDefault="00E624F7" w:rsidP="00CF66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295498" w14:textId="77777777" w:rsidR="001321D4" w:rsidRPr="00CF6601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>ДОКУМЕНТАЦИЯ О ТОРГАХ</w:t>
      </w:r>
    </w:p>
    <w:p w14:paraId="3AB76276" w14:textId="099F408F" w:rsidR="00E624F7" w:rsidRPr="00A7191A" w:rsidRDefault="001321D4" w:rsidP="001321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6601">
        <w:rPr>
          <w:rFonts w:ascii="Times New Roman" w:hAnsi="Times New Roman"/>
          <w:color w:val="000000" w:themeColor="text1"/>
          <w:sz w:val="24"/>
          <w:szCs w:val="24"/>
        </w:rPr>
        <w:t xml:space="preserve">ДЛЯ ПРОВЕДЕНИЯ ТОРГОВ В ФОРМЕ ОТКРЫТОГО КОНКУРСА НА ПРАВО ЗАКЛЮЧЕНИЯ ДОГОВОРА 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 xml:space="preserve">НА ВЫПОЛНЕНИЕ РАБОТ </w:t>
      </w:r>
      <w:r w:rsidRPr="00A7191A">
        <w:rPr>
          <w:rFonts w:ascii="Times New Roman" w:hAnsi="Times New Roman"/>
          <w:color w:val="000000"/>
          <w:sz w:val="24"/>
          <w:szCs w:val="24"/>
        </w:rPr>
        <w:t>ПО КАПИТАЛЬНОМУ РЕМОНТУ ОБЩЕГО ИМУЩЕСТВА</w:t>
      </w:r>
      <w:r w:rsidRPr="00A7191A">
        <w:rPr>
          <w:rFonts w:ascii="Times New Roman" w:hAnsi="Times New Roman"/>
          <w:sz w:val="24"/>
          <w:szCs w:val="24"/>
        </w:rPr>
        <w:t xml:space="preserve"> МНОГОКВАРТИРНЫХ ДОМОВ</w:t>
      </w:r>
      <w:r w:rsidRPr="00A7191A">
        <w:rPr>
          <w:rFonts w:ascii="Times New Roman" w:hAnsi="Times New Roman"/>
          <w:color w:val="000000" w:themeColor="text1"/>
          <w:sz w:val="24"/>
          <w:szCs w:val="24"/>
        </w:rPr>
        <w:t>, РАСПОЛОЖЕННЫХ НА ТЕРРИТОРИИ ВСЕВОЛОЖСКОГО, ВЫБОРГСКОГО, ЛОМОНОСОВСКОГО, ПРИОЗЕРСКОГО МУНИЦИПАЛЬНЫХ РАЙОНОВ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65564CF5" w14:textId="77777777" w:rsidR="002C58F9" w:rsidRPr="002B182A" w:rsidRDefault="002C58F9" w:rsidP="002C58F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Ленинградской области от 26 декабря 2013 г. № 508 «Об утверждении Региональной программы капитального ремонта </w:t>
      </w:r>
      <w:r w:rsidRPr="002B182A">
        <w:rPr>
          <w:rFonts w:ascii="Times New Roman" w:eastAsia="Times New Roman" w:hAnsi="Times New Roman" w:cs="Times New Roman"/>
          <w:sz w:val="24"/>
          <w:szCs w:val="24"/>
        </w:rPr>
        <w:t>общего имущества в многоквартирных домах, расположенных на территории Ленинградской области, на 2014-2043 годы»</w:t>
      </w:r>
      <w:r w:rsidRPr="002B182A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AD335FC" w14:textId="77777777" w:rsidR="002C58F9" w:rsidRPr="009A60A1" w:rsidRDefault="002C58F9" w:rsidP="002C58F9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8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2B18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2B182A">
        <w:rPr>
          <w:rFonts w:ascii="Times New Roman" w:eastAsia="Times New Roman" w:hAnsi="Times New Roman" w:cs="Times New Roman"/>
          <w:sz w:val="24"/>
          <w:szCs w:val="24"/>
        </w:rPr>
        <w:t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26 сентября 2016 г. № 366 «О внесении изменения в постановление Правительства Ленинградской области от 13 ноября 2015 г. № 433 «Об утверждении Краткосрочного плана реализации в 2016 г.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годы».</w:t>
      </w:r>
    </w:p>
    <w:p w14:paraId="105C8D39" w14:textId="77777777" w:rsidR="0003776B" w:rsidRPr="0047057C" w:rsidRDefault="0003776B" w:rsidP="002C58F9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1F0F71FB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3250C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3250C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</w:t>
      </w:r>
      <w:r w:rsidR="003250C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589CCB32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3250C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3250C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2B182A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2B182A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5058F1" w:rsidRDefault="005058F1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5058F1" w:rsidRDefault="005058F1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5058F1" w:rsidRDefault="005058F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5058F1" w:rsidRDefault="005058F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CD9">
          <w:rPr>
            <w:noProof/>
          </w:rPr>
          <w:t>18</w:t>
        </w:r>
        <w:r>
          <w:fldChar w:fldCharType="end"/>
        </w:r>
      </w:p>
    </w:sdtContent>
  </w:sdt>
  <w:p w14:paraId="12BE9F70" w14:textId="77777777" w:rsidR="005058F1" w:rsidRDefault="005058F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5058F1" w:rsidRDefault="005058F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5058F1" w:rsidRDefault="005058F1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5058F1" w:rsidRDefault="005058F1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5058F1" w:rsidRDefault="005058F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5058F1" w:rsidRDefault="005058F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5058F1" w:rsidRDefault="005058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B2CD9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182A"/>
    <w:rsid w:val="002B7453"/>
    <w:rsid w:val="002C58F9"/>
    <w:rsid w:val="002C6709"/>
    <w:rsid w:val="002E79D7"/>
    <w:rsid w:val="002F4306"/>
    <w:rsid w:val="0030663D"/>
    <w:rsid w:val="00320AEF"/>
    <w:rsid w:val="00321278"/>
    <w:rsid w:val="003250C3"/>
    <w:rsid w:val="0033279F"/>
    <w:rsid w:val="00360EE9"/>
    <w:rsid w:val="0036627F"/>
    <w:rsid w:val="003B48B6"/>
    <w:rsid w:val="003C4DF4"/>
    <w:rsid w:val="0040748F"/>
    <w:rsid w:val="0047057C"/>
    <w:rsid w:val="00484D03"/>
    <w:rsid w:val="00491367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96B83"/>
    <w:rsid w:val="00835B11"/>
    <w:rsid w:val="008424E4"/>
    <w:rsid w:val="008428D5"/>
    <w:rsid w:val="008617A4"/>
    <w:rsid w:val="008A2FA4"/>
    <w:rsid w:val="008B1A94"/>
    <w:rsid w:val="008D3086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8300B"/>
    <w:rsid w:val="00BA6550"/>
    <w:rsid w:val="00BB48E0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95E51"/>
    <w:rsid w:val="00FA6069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FDC6FC"/>
  <w15:docId w15:val="{7CD0014F-705D-4BB4-B077-022F295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83949-9E72-484E-8658-13F5ED051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11674</Words>
  <Characters>66542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5</cp:revision>
  <cp:lastPrinted>2016-10-28T06:37:00Z</cp:lastPrinted>
  <dcterms:created xsi:type="dcterms:W3CDTF">2016-10-25T12:15:00Z</dcterms:created>
  <dcterms:modified xsi:type="dcterms:W3CDTF">2016-11-09T16:10:00Z</dcterms:modified>
</cp:coreProperties>
</file>