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B167F1" w:rsidP="00B167F1">
            <w:pPr>
              <w:widowControl w:val="0"/>
              <w:autoSpaceDE w:val="0"/>
              <w:autoSpaceDN w:val="0"/>
              <w:adjustRightInd w:val="0"/>
              <w:spacing w:after="0" w:line="360" w:lineRule="auto"/>
              <w:rPr>
                <w:rFonts w:ascii="Times New Roman" w:hAnsi="Times New Roman"/>
                <w:sz w:val="24"/>
                <w:szCs w:val="24"/>
              </w:rPr>
            </w:pPr>
            <w:r w:rsidRPr="00B167F1">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bookmarkStart w:id="0" w:name="_GoBack"/>
      <w:bookmarkEnd w:id="0"/>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ДОКУМЕНТАЦИЯ О ТОРГАХ</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451B7F">
        <w:rPr>
          <w:rFonts w:ascii="Times New Roman" w:hAnsi="Times New Roman"/>
          <w:sz w:val="24"/>
          <w:szCs w:val="24"/>
        </w:rPr>
        <w:t xml:space="preserve"> МНОГОКВАРТИРНЫХ ДОМОВ</w:t>
      </w:r>
      <w:r w:rsidRPr="00451B7F">
        <w:rPr>
          <w:rFonts w:ascii="Times New Roman" w:hAnsi="Times New Roman"/>
          <w:color w:val="000000"/>
          <w:sz w:val="24"/>
          <w:szCs w:val="24"/>
        </w:rPr>
        <w:t>, РАСПОЛОЖЕННЫХ НА ТЕРРИТОРИИ ВСЕВОЛОЖСКОГО, ВЫБОРГСКОГО, ЛОМОНОСОВСКОГО, ПРИОЗЕРСКОГО МУНИЦИПАЛЬНЫХ РАЙОНОВ ЛЕНИНГРАДСКОЙ ОБЛАСТИ</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1B64C5" w:rsidRDefault="00B167F1" w:rsidP="00451B7F">
      <w:pPr>
        <w:spacing w:after="0" w:line="240" w:lineRule="auto"/>
        <w:jc w:val="center"/>
        <w:rPr>
          <w:rFonts w:ascii="Times New Roman" w:hAnsi="Times New Roman"/>
          <w:b/>
          <w:sz w:val="24"/>
          <w:szCs w:val="24"/>
        </w:rPr>
      </w:pPr>
      <w:r w:rsidRPr="00B167F1">
        <w:rPr>
          <w:rFonts w:ascii="Times New Roman" w:hAnsi="Times New Roman"/>
        </w:rPr>
        <w:t>2016 г.</w:t>
      </w:r>
    </w:p>
    <w:p w:rsidR="00451B7F" w:rsidRDefault="00451B7F"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также дополнительные соглашения к нему, которые могут быть подписаны Сторонами в </w:t>
      </w:r>
      <w:r w:rsidRPr="00E75735">
        <w:rPr>
          <w:rFonts w:ascii="Times New Roman" w:hAnsi="Times New Roman"/>
          <w:sz w:val="24"/>
          <w:szCs w:val="24"/>
        </w:rPr>
        <w:lastRenderedPageBreak/>
        <w:t>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451B7F">
          <w:rPr>
            <w:noProof/>
          </w:rPr>
          <w:t>3</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1B7F"/>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5C72A-6B03-401B-83B5-7654D7677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18</Pages>
  <Words>8573</Words>
  <Characters>48867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62</cp:revision>
  <cp:lastPrinted>2016-07-19T07:24:00Z</cp:lastPrinted>
  <dcterms:created xsi:type="dcterms:W3CDTF">2015-09-17T14:41:00Z</dcterms:created>
  <dcterms:modified xsi:type="dcterms:W3CDTF">2016-10-13T11:40:00Z</dcterms:modified>
</cp:coreProperties>
</file>