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27 марта 2014 г. N 87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ВОЗВРАТА ВЛАДЕЛЬЦЕМ СПЕЦИАЛЬНОГО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СЧЕТА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И(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ИЛИ) РЕГИОНАЛЬНЫМ ОПЕРАТОРОМ СРЕДСТВ ФОНДА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КАПИТАЛЬНОГО РЕМОНТА СОБСТВЕННИКАМ ПОМЕЩЕНИЙ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МНОГОКВАРТИРНОМ ДОМЕ, А ТАКЖЕ ПОРЯДКА ИСПОЛЬЗОВАНИЯ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СРЕДСТВ ФОНДА КАПИТАЛЬНОГО РЕМОНТА НА ЦЕЛИ СНОСА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РЕКОНСТРУКЦИИ МНОГОКВАРТИРНОГО ДОМА В СЛУЧАЯХ,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ПРЕДУСМОТРЕННЫХ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ЖИЛИЩНЫМ КОДЕКСОМ РОССИЙСКОЙ ФЕДЕРАЦИИ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0380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03802" w:rsidRDefault="00F03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03802" w:rsidRDefault="00F03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F03802" w:rsidRDefault="00F03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04.04.2016 N 87)</w:t>
            </w:r>
          </w:p>
        </w:tc>
      </w:tr>
    </w:tbl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7 статьи 167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18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возврата владельцем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Российской Федерации.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жилищно-коммунальному хозяйству, энергетике и транспорту Коваля О.С.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04.04.2016 N 87)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27.03.2014 N 87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ВОЗВРАТА ВЛАДЕЛЬЦЕМ СПЕЦИАЛЬНОГО СЧЕТА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И(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ИЛИ) РЕГИОНАЛЬНЫМ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ОПЕРАТОРОМ СРЕДСТВ ФОНДА КАПИТАЛЬНОГО РЕМОНТА СОБСТВЕННИКАМ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ПОМЕЩЕНИЙ В МНОГОКВАРТИРНОМ ДОМЕ, А ТАКЖЕ ПОРЯДОК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ИСПОЛЬЗОВАНИЯ СРЕДСТВ ФОНДА КАПИТАЛЬНОГО РЕМОНТА НА ЦЕЛИ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СНОСА ИЛИ РЕКОНСТРУКЦИИ МНОГОКВАРТИРНОГО ДОМА В СЛУЧАЯХ,</w:t>
      </w:r>
    </w:p>
    <w:p w:rsidR="00F03802" w:rsidRDefault="00F03802" w:rsidP="00F0380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ПРЕДУСМОТРЕННЫХ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ЖИЛИЩНЫМ КОДЕКСОМ РОССИЙСКОЙ ФЕДЕРАЦИИ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Настоящий Порядок разработан 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167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областным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и регламентирует выплату владельцем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региональным оператором средств фонда капитального ремонта собственникам помещений в многоквартирном доме, а также использование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1" w:name="Par49"/>
      <w:bookmarkEnd w:id="1"/>
      <w:r>
        <w:rPr>
          <w:rFonts w:ascii="Arial" w:hAnsi="Arial" w:cs="Arial"/>
          <w:sz w:val="20"/>
          <w:szCs w:val="20"/>
        </w:rPr>
        <w:t>2. Основания использования средств фонда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капитального ремонта на цели сноса или реконструкции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многоквартирного дома в случаях, предусмотренных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Жилищным кодексом Российской Федерации,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выплаты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средств фонда капитального ремонта собственникам помещений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многоквартирном доме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6"/>
      <w:bookmarkEnd w:id="2"/>
      <w:r>
        <w:rPr>
          <w:rFonts w:ascii="Arial" w:hAnsi="Arial" w:cs="Arial"/>
          <w:sz w:val="20"/>
          <w:szCs w:val="20"/>
        </w:rPr>
        <w:t xml:space="preserve">2.1.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частями 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11 статьи 32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по решению собственников помещений в этом многоквартирном доме.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7"/>
      <w:bookmarkEnd w:id="3"/>
      <w:r>
        <w:rPr>
          <w:rFonts w:ascii="Arial" w:hAnsi="Arial" w:cs="Arial"/>
          <w:sz w:val="20"/>
          <w:szCs w:val="20"/>
        </w:rPr>
        <w:t xml:space="preserve">2.2. </w:t>
      </w:r>
      <w:proofErr w:type="gramStart"/>
      <w:r>
        <w:rPr>
          <w:rFonts w:ascii="Arial" w:hAnsi="Arial" w:cs="Arial"/>
          <w:sz w:val="20"/>
          <w:szCs w:val="20"/>
        </w:rPr>
        <w:t>В случае изъятия для государственных или муниципальных нужд земельного участка, на котором расположен многоквартирный дом, признанный аварийным и подлежащим сносу или реконструкции,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образованию, средства фонда капитального ремонта выплачиваются собственникам помещений в этом многоквартирном доме.</w:t>
      </w:r>
      <w:proofErr w:type="gramEnd"/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Порядок использования средств фонда капитального ремонта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цели сноса или реконструкции многоквартирного дома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случаях, предусмотренных Жилищным кодексом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4"/>
      <w:bookmarkEnd w:id="4"/>
      <w:r>
        <w:rPr>
          <w:rFonts w:ascii="Arial" w:hAnsi="Arial" w:cs="Arial"/>
          <w:sz w:val="20"/>
          <w:szCs w:val="20"/>
        </w:rPr>
        <w:t xml:space="preserve">3.1. В случае, предусмотренном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владельцу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региональному оператору представляются следующие документы: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копии: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правового акта, принятого соответствующим федеральным органом исполнительной власти, органом исполнительной власти субъекта Российской Федерации, органом местного самоуправления о признании дома аварийным и подлежащим сносу или реконструкции;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заключения межведомственной комиссии о признании многоквартирного дома аварийным и подлежащим сносу или реконструкции;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акта обследования межведомственной комиссии о признании многоквартирного дома аварийным и подлежащим сносу или реконструкции.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Указанные документы представляются владельцу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региональному оператору органом исполнительной власти Ленинградской области, уполномоченным осуществлять региональный государственный жилищный надзор, в течение пяти рабочих дней со дня получения таких документов в соответствии с положениями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пункта 51</w:t>
        </w:r>
      </w:hyperlink>
      <w:r>
        <w:rPr>
          <w:rFonts w:ascii="Arial" w:hAnsi="Arial" w:cs="Arial"/>
          <w:sz w:val="20"/>
          <w:szCs w:val="20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47, с целью прекращения начисления взносов на капитальный ремонт;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0"/>
      <w:bookmarkEnd w:id="5"/>
      <w:r>
        <w:rPr>
          <w:rFonts w:ascii="Arial" w:hAnsi="Arial" w:cs="Arial"/>
          <w:sz w:val="20"/>
          <w:szCs w:val="20"/>
        </w:rPr>
        <w:t xml:space="preserve">б) решение общего собрания собственников помещений в многоквартирном доме о сносе или реконструкции многоквартирного дома и об утверждении сметы расходов на снос или реконструкцию такого многоквартирного дома с учетом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пункта 3.3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1"/>
      <w:bookmarkEnd w:id="6"/>
      <w:r>
        <w:rPr>
          <w:rFonts w:ascii="Arial" w:hAnsi="Arial" w:cs="Arial"/>
          <w:sz w:val="20"/>
          <w:szCs w:val="20"/>
        </w:rPr>
        <w:lastRenderedPageBreak/>
        <w:t xml:space="preserve">в) договор (договоры) на выполнение работ, оказание услуг с учетом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пункта 3.3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документы на оплату авансового платежа, выполненных работ, оказанных услуг (счет, счет-фактура, акты выполненных работ КС-2, КС-3).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Документы, указанные в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"в" пункта 3.1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представляются владельцу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региональному оператору лицом, ответственным за управление многоквартирным домом (товариществом собственников жилья, жилищным кооперативом или иным специализированным потребительским кооперативом, управляющей организацией), при непосредственном управлении многоквартирным домом собственниками помещений в этом многоквартирном доме - лицом, указанным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части 3 статьи 164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3"/>
      <w:bookmarkEnd w:id="7"/>
      <w:r>
        <w:rPr>
          <w:rFonts w:ascii="Arial" w:hAnsi="Arial" w:cs="Arial"/>
          <w:sz w:val="20"/>
          <w:szCs w:val="20"/>
        </w:rPr>
        <w:t xml:space="preserve">3.3. </w:t>
      </w:r>
      <w:proofErr w:type="gramStart"/>
      <w:r>
        <w:rPr>
          <w:rFonts w:ascii="Arial" w:hAnsi="Arial" w:cs="Arial"/>
          <w:sz w:val="20"/>
          <w:szCs w:val="20"/>
        </w:rPr>
        <w:t xml:space="preserve">Средства фонда капитального ремонта, находящиеся на специальном счете (счете регионального оператора), в случае, предусмотренном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могут быть использованы на инженерные изыскания для подготовки проектной документации, реконструкции и сноса многоквартирного дома, на разработку проектной документации по сносу или реконструкции многоквартирного дома, проведение экспертизы (государственной экспертизы) проектной документации и результатов инженерных изысканий в соответствии с законодательством Российской Федерации о</w:t>
      </w:r>
      <w:proofErr w:type="gramEnd"/>
      <w:r>
        <w:rPr>
          <w:rFonts w:ascii="Arial" w:hAnsi="Arial" w:cs="Arial"/>
          <w:sz w:val="20"/>
          <w:szCs w:val="20"/>
        </w:rPr>
        <w:t xml:space="preserve"> градостроительной деятельности, выплату авансового платежа, установленного договором, проведение работ по сносу или реконструкции многоквартирного дома.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Владелец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региональный оператор в течение пяти рабочих дней со дня регистрации документов,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принимает решение о выплате (об отказе в выплате) средств фонда капитального ремонта на цели сноса или реконструкции и направляет его и платежное поручение в банк, в котором открыт специальный счет (счет регионального оператора).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Банк, в котором открыт специальный счет (счет регионального оператора), на основании представленных документов, оформленных владельцем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региональным оператором в соответствии с банковскими правилами и договором специального счета, перечисляет денежные средства на счет организации, выполнившей работы, оказавшей услуги, указанный в договоре (договорах).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76"/>
      <w:bookmarkEnd w:id="8"/>
      <w:r>
        <w:rPr>
          <w:rFonts w:ascii="Arial" w:hAnsi="Arial" w:cs="Arial"/>
          <w:sz w:val="20"/>
          <w:szCs w:val="20"/>
        </w:rPr>
        <w:t>3.6. В случае если на специальном счете (счете регионального оператора) после оплаты выполненных работ по сносу или реконструкции многоквартирного дома останутся денежные средства, такие средства подлежат выплате собственникам помещений в многоквартирном доме пропорционально размеру уплаченных каждым собственником взносов на капитальный ремонт и размерам указанных взносов, уплаченных предшествующими собственниками помещения.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Для перечисления денежных средств, указанных в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пункте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собственникам помещений необходимо представить владельцу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региональному оператору документы, указанные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В течение пяти рабочих дней со дня регистрации документов, указанных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владелец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региональный оператор принимает решение о выплате и направляет его и платежные поручения в банк, в котором открыт специальный счет и(или) счет регионального оператора.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3.9. Владелец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региональный оператор после перечисления денежных средств, указанных в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пункте 3.6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собственникам помещений в многоквартирном доме в полном объеме обязан в течение пяти рабочих дней закрыть такой счет.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Порядок возврата средств фонда капитального ремонта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собственникам помещений в многоквартирном доме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4"/>
      <w:bookmarkEnd w:id="9"/>
      <w:r>
        <w:rPr>
          <w:rFonts w:ascii="Arial" w:hAnsi="Arial" w:cs="Arial"/>
          <w:sz w:val="20"/>
          <w:szCs w:val="20"/>
        </w:rPr>
        <w:t xml:space="preserve">4.1. Для получения средств фонда капитального ремонта собственник помещения, расположенного в многоквартирном доме, указанном в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представляет владельцу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региональному оператору следующие документы: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копию документа, удостоверяющего личность собственника помещения - физического лица, выписку из Единого государственного реестра юридических лиц - юридического лица;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б) выписку из Единого государственного реестра прав на недвижимое имущество и сделок с ним.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если право собственности на помещение в многоквартирном доме возникло до введения в действие Федерального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 июля 1997 года N 122-ФЗ "О государственной регистрации прав на недвижимое имущество и сделок с ним" (с изменениями) и право собственности на помещение не прошло государственную регистрацию, введенную указанным Федеральным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>, - копию документа, подтверждающего право собственности на помещение;</w:t>
      </w:r>
      <w:proofErr w:type="gramEnd"/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сведения о счете, открытом в банке или иной кредитной организации;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копию документа, удостоверяющего личность представителя собственника помещения, а также документа, подтверждающего полномочия представителя собственника помещения действовать от его имени (в случае подачи документов представителем собственника помещения).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В случае принятия собственниками помещений в многоквартирном доме решения о выборе регионального оператора в качестве владельца специального счета, а также в случае формирования фонда капитального ремонта на счете регионального оператора документы, указанные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представляются региональному оператору.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Документы могут быть представлены собственником лично либо направлены заказным почтовым отправлением с уведомлением о вручении.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имени собственника могут выступать представители, полномочия которых подтверждены в установленном действующим законодательством порядке.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 должны быть заверены в установленном законом порядке.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 течение пяти дней со дня представления документов, указанных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владелец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региональный оператор рассматривает документы и принимает решение о выплате собственнику помещения средств фонда капитального ремонта или об отказе в такой выплате.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Основаниями для отказа в выплате средств фонда капитального ремонта собственникам помещений многоквартирного дома в случаях, указанных в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разделе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являются: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</w:t>
      </w:r>
      <w:proofErr w:type="gramStart"/>
      <w:r>
        <w:rPr>
          <w:rFonts w:ascii="Arial" w:hAnsi="Arial" w:cs="Arial"/>
          <w:sz w:val="20"/>
          <w:szCs w:val="20"/>
        </w:rPr>
        <w:t>документов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действующим законодательством требованиям;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в представленных документах, указанных в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"в" пункта 3.1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недостоверных сведений;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неполного пакета документов, предусмотренных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пунктами 3.1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8"/>
      <w:bookmarkEnd w:id="10"/>
      <w:r>
        <w:rPr>
          <w:rFonts w:ascii="Arial" w:hAnsi="Arial" w:cs="Arial"/>
          <w:sz w:val="20"/>
          <w:szCs w:val="20"/>
        </w:rPr>
        <w:t xml:space="preserve">4.6. Решение о выплате собственнику помещения средств фонда капитального ремонта (отказе в выплате собственнику помещения средств фонда капитального ремонта) не позднее пяти рабочих дней со дня принятия решения направляется владельцем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региональным оператором заказным почтовым отправлением с уведомлением о вручении собственнику помещения.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решения об отказе в выплате собственнику помещения средств фонда капитального ремонта собственник помещения уведомляется о причинах отказа.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Решение о выплате собственнику помещения средств фонда капитального ремонта должно содержать данные о собственнике помещения, о принадлежащем ему помещении, размере средств фонда капитального ремонта, подлежащих выплате собственнику помещения, реквизиты счета, на который подлежат перечислению средства фонда капитального ремонта.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средств фонда капитального ремонта, подлежащих выплате собственнику помещения, определяется пропорционально размеру уплаченных собственником взносов на капитальный ремонт и размерам указанных взносов, уплаченных предшествующими собственниками помещения.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4.8. В течение пяти рабочих дней со дня принятия решения, указанного в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пункте 4.6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владелец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региональный оператор направляет решение и платежные поручения в банк, в котором открыт специальный счет (счет регионального оператора).</w:t>
      </w:r>
    </w:p>
    <w:p w:rsidR="00F03802" w:rsidRDefault="00F03802" w:rsidP="00F03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Владелец специального счета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региональный оператор после перечисления денежных средств собственникам помещений в многоквартирном доме в полном объеме обязан в течение пяти дней закрыть такой счет.</w:t>
      </w: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3802" w:rsidRDefault="00F03802" w:rsidP="00F0380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74D42" w:rsidRDefault="00C74D42">
      <w:bookmarkStart w:id="11" w:name="_GoBack"/>
      <w:bookmarkEnd w:id="11"/>
    </w:p>
    <w:sectPr w:rsidR="00C74D42" w:rsidSect="003A37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78"/>
    <w:rsid w:val="00700B89"/>
    <w:rsid w:val="00C74D42"/>
    <w:rsid w:val="00CF3778"/>
    <w:rsid w:val="00F03802"/>
    <w:rsid w:val="00F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1399A7A887ACB51381571C919CFFB0997059B3BE6CACEE60EAA8EAE8C702C0E35AAEBE9A4CD145S148M" TargetMode="External"/><Relationship Id="rId13" Type="http://schemas.openxmlformats.org/officeDocument/2006/relationships/hyperlink" Target="consultantplus://offline/ref=9C1399A7A887ACB51381480D849CFFB09A715AB4B56EACEE60EAA8EAE8C702C0E35AAESB4EM" TargetMode="External"/><Relationship Id="rId18" Type="http://schemas.openxmlformats.org/officeDocument/2006/relationships/hyperlink" Target="consultantplus://offline/ref=9C1399A7A887ACB51381480D849CFFB09A795CBEBE6DACEE60EAA8EAE8SC4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1399A7A887ACB51381480D849CFFB09A715AB4B56EACEE60EAA8EAE8C702C0E35AAEBD98S449M" TargetMode="External"/><Relationship Id="rId12" Type="http://schemas.openxmlformats.org/officeDocument/2006/relationships/hyperlink" Target="consultantplus://offline/ref=9C1399A7A887ACB51381480D849CFFB09A715AB4B56EACEE60EAA8EAE8SC47M" TargetMode="External"/><Relationship Id="rId17" Type="http://schemas.openxmlformats.org/officeDocument/2006/relationships/hyperlink" Target="consultantplus://offline/ref=9C1399A7A887ACB51381480D849CFFB09A795CBEBE6DACEE60EAA8EAE8SC4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1399A7A887ACB51381480D849CFFB09A715AB4B56EACEE60EAA8EAE8C702C0E35AAEBE9A4DD047S14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399A7A887ACB51381571C919CFFB0997154B7B464ACEE60EAA8EAE8C702C0E35AAEBE9A4CD045S14CM" TargetMode="External"/><Relationship Id="rId11" Type="http://schemas.openxmlformats.org/officeDocument/2006/relationships/hyperlink" Target="consultantplus://offline/ref=9C1399A7A887ACB51381571C919CFFB0997059B3BE6CACEE60EAA8EAE8C702C0E35AAEBE9A4CD145S14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C1399A7A887ACB51381480D849CFFB09A795FBEB565ACEE60EAA8EAE8C702C0E35AAEBDS94BM" TargetMode="External"/><Relationship Id="rId10" Type="http://schemas.openxmlformats.org/officeDocument/2006/relationships/hyperlink" Target="consultantplus://offline/ref=9C1399A7A887ACB51381480D849CFFB09A715AB4B56EACEE60EAA8EAE8C702C0E35AAEBD98S449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1399A7A887ACB51381571C919CFFB0997154B7B464ACEE60EAA8EAE8C702C0E35AAEBE9A4CD045S14CM" TargetMode="External"/><Relationship Id="rId14" Type="http://schemas.openxmlformats.org/officeDocument/2006/relationships/hyperlink" Target="consultantplus://offline/ref=9C1399A7A887ACB51381480D849CFFB09A715AB4B56EACEE60EAA8EAE8C702C0E35AAESB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2018-01-22T12:56:00Z</dcterms:created>
  <dcterms:modified xsi:type="dcterms:W3CDTF">2018-01-22T12:58:00Z</dcterms:modified>
</cp:coreProperties>
</file>