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4C" w:rsidRDefault="003B54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544C" w:rsidRDefault="003B544C">
      <w:pPr>
        <w:pStyle w:val="ConsPlusNormal"/>
        <w:outlineLvl w:val="0"/>
      </w:pPr>
    </w:p>
    <w:p w:rsidR="003B544C" w:rsidRDefault="003B544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B544C" w:rsidRDefault="003B544C">
      <w:pPr>
        <w:pStyle w:val="ConsPlusTitle"/>
        <w:jc w:val="center"/>
      </w:pPr>
    </w:p>
    <w:p w:rsidR="003B544C" w:rsidRDefault="003B544C">
      <w:pPr>
        <w:pStyle w:val="ConsPlusTitle"/>
        <w:jc w:val="center"/>
      </w:pPr>
      <w:r>
        <w:t>ПОСТАНОВЛЕНИЕ</w:t>
      </w:r>
    </w:p>
    <w:p w:rsidR="003B544C" w:rsidRDefault="003B544C">
      <w:pPr>
        <w:pStyle w:val="ConsPlusTitle"/>
        <w:jc w:val="center"/>
      </w:pPr>
      <w:r>
        <w:t>от 7 августа 2018 г. N 290</w:t>
      </w:r>
    </w:p>
    <w:p w:rsidR="003B544C" w:rsidRDefault="003B544C">
      <w:pPr>
        <w:pStyle w:val="ConsPlusTitle"/>
        <w:jc w:val="center"/>
      </w:pPr>
    </w:p>
    <w:p w:rsidR="003B544C" w:rsidRDefault="003B544C">
      <w:pPr>
        <w:pStyle w:val="ConsPlusTitle"/>
        <w:jc w:val="center"/>
      </w:pPr>
      <w:r>
        <w:t>ОБ УТВЕРЖДЕНИИ ПОРЯДКА ПРЕДОСТАВЛЕНИЯ СУБСИДИЙ</w:t>
      </w:r>
    </w:p>
    <w:p w:rsidR="003B544C" w:rsidRDefault="003B544C">
      <w:pPr>
        <w:pStyle w:val="ConsPlusTitle"/>
        <w:jc w:val="center"/>
      </w:pPr>
      <w:r>
        <w:t>НА ИМУЩЕСТВЕННЫЙ ВЗНОС ЛЕНИНГРАДСКОЙ ОБЛАСТИ НЕКОММЕРЧЕСКОЙ</w:t>
      </w:r>
    </w:p>
    <w:p w:rsidR="003B544C" w:rsidRDefault="003B544C">
      <w:pPr>
        <w:pStyle w:val="ConsPlusTitle"/>
        <w:jc w:val="center"/>
      </w:pPr>
      <w:r>
        <w:t>ОРГАНИЗАЦИИ "ФОНД КАПИТАЛЬНОГО РЕМОНТА МНОГОКВАРТИРНЫХ ДОМОВ</w:t>
      </w:r>
    </w:p>
    <w:p w:rsidR="003B544C" w:rsidRDefault="003B544C">
      <w:pPr>
        <w:pStyle w:val="ConsPlusTitle"/>
        <w:jc w:val="center"/>
      </w:pPr>
      <w:r>
        <w:t>ЛЕНИНГРАДСКОЙ ОБЛАСТИ" И ПРИЗНАНИИ УТРАТИВШИМИ СИЛУ</w:t>
      </w:r>
    </w:p>
    <w:p w:rsidR="003B544C" w:rsidRDefault="003B544C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3B544C" w:rsidRDefault="003B5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54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44C" w:rsidRDefault="003B54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44C" w:rsidRDefault="003B54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B544C" w:rsidRDefault="003B544C">
            <w:pPr>
              <w:pStyle w:val="ConsPlusNormal"/>
              <w:jc w:val="center"/>
            </w:pPr>
            <w:r>
              <w:rPr>
                <w:color w:val="392C69"/>
              </w:rPr>
              <w:t>от 11.06.2019 N 277)</w:t>
            </w:r>
          </w:p>
        </w:tc>
      </w:tr>
    </w:tbl>
    <w:p w:rsidR="003B544C" w:rsidRDefault="003B544C">
      <w:pPr>
        <w:pStyle w:val="ConsPlusNormal"/>
        <w:jc w:val="center"/>
      </w:pPr>
    </w:p>
    <w:p w:rsidR="003B544C" w:rsidRDefault="003B544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9" w:history="1">
        <w:r>
          <w:rPr>
            <w:color w:val="0000FF"/>
          </w:rPr>
          <w:t>статьей 16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3B544C" w:rsidRDefault="003B544C">
      <w:pPr>
        <w:pStyle w:val="ConsPlusNormal"/>
        <w:ind w:firstLine="540"/>
        <w:jc w:val="both"/>
      </w:pPr>
    </w:p>
    <w:p w:rsidR="003B544C" w:rsidRDefault="003B54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на имущественный взнос Ленинградской области некоммерческой организации "Фонд капитального ремонта многоквартирных домов Ленинградской области".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544C" w:rsidRDefault="003B544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декабря 2013 года N 506 "Об утверждении Порядка определения объема и предоставления субсидий в виде имущественного взноса Ленинградской области некоммерческой организации "Фонд капитального ремонта многоквартирных домов Ленинградской области";</w:t>
      </w:r>
    </w:p>
    <w:p w:rsidR="003B544C" w:rsidRDefault="003B544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11</w:t>
        </w:r>
      </w:hyperlink>
      <w: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3B544C" w:rsidRDefault="003B544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2019 года.</w:t>
      </w:r>
    </w:p>
    <w:p w:rsidR="003B544C" w:rsidRDefault="003B544C">
      <w:pPr>
        <w:pStyle w:val="ConsPlusNormal"/>
        <w:ind w:firstLine="540"/>
        <w:jc w:val="both"/>
      </w:pPr>
    </w:p>
    <w:p w:rsidR="003B544C" w:rsidRDefault="003B544C">
      <w:pPr>
        <w:pStyle w:val="ConsPlusNormal"/>
        <w:jc w:val="right"/>
      </w:pPr>
      <w:r>
        <w:t>Губернатор</w:t>
      </w:r>
    </w:p>
    <w:p w:rsidR="003B544C" w:rsidRDefault="003B544C">
      <w:pPr>
        <w:pStyle w:val="ConsPlusNormal"/>
        <w:jc w:val="right"/>
      </w:pPr>
      <w:r>
        <w:t>Ленинградской области</w:t>
      </w:r>
    </w:p>
    <w:p w:rsidR="003B544C" w:rsidRDefault="003B544C">
      <w:pPr>
        <w:pStyle w:val="ConsPlusNormal"/>
        <w:jc w:val="right"/>
      </w:pPr>
      <w:r>
        <w:t>А.Дрозденко</w:t>
      </w: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  <w:outlineLvl w:val="0"/>
      </w:pPr>
      <w:r>
        <w:t>УТВЕРЖДЕН</w:t>
      </w:r>
    </w:p>
    <w:p w:rsidR="003B544C" w:rsidRDefault="003B544C">
      <w:pPr>
        <w:pStyle w:val="ConsPlusNormal"/>
        <w:jc w:val="right"/>
      </w:pPr>
      <w:r>
        <w:t>постановлением Правительства</w:t>
      </w:r>
    </w:p>
    <w:p w:rsidR="003B544C" w:rsidRDefault="003B544C">
      <w:pPr>
        <w:pStyle w:val="ConsPlusNormal"/>
        <w:jc w:val="right"/>
      </w:pPr>
      <w:r>
        <w:t>Ленинградской области</w:t>
      </w:r>
    </w:p>
    <w:p w:rsidR="003B544C" w:rsidRDefault="003B544C">
      <w:pPr>
        <w:pStyle w:val="ConsPlusNormal"/>
        <w:jc w:val="right"/>
      </w:pPr>
      <w:r>
        <w:t>от 07.08.2018 N 290</w:t>
      </w:r>
    </w:p>
    <w:p w:rsidR="003B544C" w:rsidRDefault="003B544C">
      <w:pPr>
        <w:pStyle w:val="ConsPlusNormal"/>
        <w:jc w:val="right"/>
      </w:pPr>
      <w:r>
        <w:t>(приложение)</w:t>
      </w:r>
    </w:p>
    <w:p w:rsidR="003B544C" w:rsidRDefault="003B544C">
      <w:pPr>
        <w:pStyle w:val="ConsPlusNormal"/>
        <w:jc w:val="center"/>
      </w:pPr>
    </w:p>
    <w:p w:rsidR="003B544C" w:rsidRDefault="003B544C">
      <w:pPr>
        <w:pStyle w:val="ConsPlusTitle"/>
        <w:jc w:val="center"/>
      </w:pPr>
      <w:bookmarkStart w:id="0" w:name="P39"/>
      <w:bookmarkEnd w:id="0"/>
      <w:r>
        <w:t>ПОРЯДОК</w:t>
      </w:r>
    </w:p>
    <w:p w:rsidR="003B544C" w:rsidRDefault="003B544C">
      <w:pPr>
        <w:pStyle w:val="ConsPlusTitle"/>
        <w:jc w:val="center"/>
      </w:pPr>
      <w:r>
        <w:t>ПРЕДОСТАВЛЕНИЯ СУБСИДИЙ НА ИМУЩЕСТВЕННЫЙ ВЗНОС ЛЕНИНГРАДСКОЙ</w:t>
      </w:r>
    </w:p>
    <w:p w:rsidR="003B544C" w:rsidRDefault="003B544C">
      <w:pPr>
        <w:pStyle w:val="ConsPlusTitle"/>
        <w:jc w:val="center"/>
      </w:pPr>
      <w:r>
        <w:t>ОБЛАСТИ НЕКОММЕРЧЕСКОЙ ОРГАНИЗАЦИИ "ФОНД КАПИТАЛЬНОГО</w:t>
      </w:r>
    </w:p>
    <w:p w:rsidR="003B544C" w:rsidRDefault="003B544C">
      <w:pPr>
        <w:pStyle w:val="ConsPlusTitle"/>
        <w:jc w:val="center"/>
      </w:pPr>
      <w:r>
        <w:t>РЕМОНТА МНОГОКВАРТИРНЫХ ДОМОВ ЛЕНИНГРАДСКОЙ ОБЛАСТИ"</w:t>
      </w:r>
    </w:p>
    <w:p w:rsidR="003B544C" w:rsidRDefault="003B544C">
      <w:pPr>
        <w:pStyle w:val="ConsPlusNormal"/>
        <w:jc w:val="center"/>
      </w:pPr>
    </w:p>
    <w:p w:rsidR="003B544C" w:rsidRDefault="003B544C">
      <w:pPr>
        <w:pStyle w:val="ConsPlusTitle"/>
        <w:jc w:val="center"/>
        <w:outlineLvl w:val="1"/>
      </w:pPr>
      <w:r>
        <w:t>1. Общие положения</w:t>
      </w:r>
    </w:p>
    <w:p w:rsidR="003B544C" w:rsidRDefault="003B544C">
      <w:pPr>
        <w:pStyle w:val="ConsPlusNormal"/>
        <w:jc w:val="center"/>
      </w:pPr>
    </w:p>
    <w:p w:rsidR="003B544C" w:rsidRDefault="003B544C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некоммерческой организации "Фонд капитального ремонта многоквартирных домов Ленинградской области" субсидий из областного бюджета Ленинградской области на имущественный взнос Ленинградской области (далее соответственно - Фонд, субсидии).</w:t>
      </w:r>
    </w:p>
    <w:p w:rsidR="003B544C" w:rsidRDefault="003B544C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1.2. Субсидии предоставляются для финансового обеспечения затрат по уставной деятельности Фонда в целях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Ленинградской области "Обеспечение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в соответствии с финансовым планом доходов и расходов (бюджетом) Фонда, утвержденным в соответствии с уставом Фонда (далее - финансовый план). Размер субсидии на текущий финансовый год определяется в соответствии с финансовым планом в размере, утвержденном областным законом об областном бюджете Ленинградской области на текущий финансовый год и на плановый период.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3B544C" w:rsidRDefault="003B544C">
      <w:pPr>
        <w:pStyle w:val="ConsPlusNormal"/>
        <w:ind w:firstLine="540"/>
        <w:jc w:val="both"/>
      </w:pPr>
    </w:p>
    <w:p w:rsidR="003B544C" w:rsidRDefault="003B544C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3B544C" w:rsidRDefault="003B544C">
      <w:pPr>
        <w:pStyle w:val="ConsPlusNormal"/>
        <w:jc w:val="center"/>
      </w:pPr>
    </w:p>
    <w:p w:rsidR="003B544C" w:rsidRDefault="003B544C">
      <w:pPr>
        <w:pStyle w:val="ConsPlusNormal"/>
        <w:ind w:firstLine="540"/>
        <w:jc w:val="both"/>
      </w:pPr>
      <w:bookmarkStart w:id="2" w:name="P52"/>
      <w:bookmarkEnd w:id="2"/>
      <w:r>
        <w:t>2.1. Субсидии предоставляются Фонду при одновременном соблюдении следующих условий: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а) соответствие Фонда на 1 января года, в котором планируется предоставление субсидии, следующим требованиям: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отсутствие проведения в отношении Фонда процедуры реорганизации, ликвидации, банкротства;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lastRenderedPageBreak/>
        <w:t xml:space="preserve">б) представление документов, указанных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71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в) заключение между Фондом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соглашение);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г) согласие Фонда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субсидий.</w:t>
      </w:r>
    </w:p>
    <w:p w:rsidR="003B544C" w:rsidRDefault="003B544C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2.2. Для получения субсидии Фонд представляет в комитет </w:t>
      </w:r>
      <w:hyperlink w:anchor="P109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к настоящему Порядку с приложением следующих документов: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а) справка о согласии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б) справка налогового органа о состоянии расчетов Фонда по налогам, сборам, пеням, штрафам, процентам, подтверждающая отсутствие неисполненной обязанности по уплате налогов, сборов,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в) справка территориального органа Пенсионного фонда Российской Федерации о состоянии расчетов Фонда по страховым взносам, пеням и штрафам, подтверждающая отсутствие неисполненной обязанности по уплате страховых взносов, а также отсутствие задолженности по уплате пеней и штрафов;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г) справка территориального органа Фонда социального страхования Российской Федерации о состоянии расчетов Фонда по страховым взносам, пеням и штрафам, подтверждающая отсутствие неисполненной обязанности по уплате страховых взносов, а также отсутствие задолженности по уплате пеней и штрафов;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д) справка Фонда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Фонда (при наличии печати);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е) справка Фонда об отсутствии проведения в отношении Фонда процедуры реорганизации, ликвидации, банкротства, заверенная подписями руководителя, главного бухгалтера и печатью Фонда (при наличии печати);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ж) копия финансового плана;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з) справка с указанием реквизитов расчетного счета Фонда, на который будет перечислена субсидия.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Фонду не возвращается.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возлагается на Фонд.</w:t>
      </w:r>
    </w:p>
    <w:p w:rsidR="003B544C" w:rsidRDefault="003B544C">
      <w:pPr>
        <w:pStyle w:val="ConsPlusNormal"/>
        <w:spacing w:before="220"/>
        <w:ind w:firstLine="540"/>
        <w:jc w:val="both"/>
      </w:pPr>
      <w:bookmarkStart w:id="4" w:name="P71"/>
      <w:bookmarkEnd w:id="4"/>
      <w:r>
        <w:t>2.3. Заявка подается Фондом в комитет не позднее 15 февраля текущего финансового года.</w:t>
      </w:r>
    </w:p>
    <w:p w:rsidR="003B544C" w:rsidRDefault="003B544C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2.4. Комитет не позднее 15 рабочих дней со дня окончания срока приема заявок, </w:t>
      </w:r>
      <w:r>
        <w:lastRenderedPageBreak/>
        <w:t xml:space="preserve">предусмотренного пунктом 2.3 настоящего Порядка, рассматривает представленные в соответствии с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 заявки и документы, а также осуществляет проверку соответствия Фонда требованиям, предусмотренным </w:t>
      </w:r>
      <w:hyperlink w:anchor="P5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Решение о предоставлении субсидии или об отказе в предоставлении субсидии с указанием причин отказа оформляется правовым актом комитета.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2.5. Основаниями для отказа в предоставлении субсидии являются: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52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Фондом документов требованиям, установленным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в) недостоверность представленной Фондом информации;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г) нарушение Фондом установленного срока представления заявок.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 xml:space="preserve">2.6. Решение о предоставлении субсидии или об отказе в предоставлении субсидии, предусмотренное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Порядка, размещается на сайте комитета в информационно-телекоммуникационной сети "Интернет" (далее - сеть "Интернет") не позднее 15 рабочих дней со дня его принятия.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2.7. В случае принятия решения о предоставлении субсидии комитет в течение пяти рабочих дней со дня принятия такого решения заключает с Фондом соглашение.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2.8. Объем субсидии составляет 100 процентов от планируемых затрат на осуществление деятельности Фонда и определяется на основании финансового плана,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 xml:space="preserve">2.9. В случае увеличения лимитов бюджетных ассигнований комитет вправе осуществить повторный прием заявок в порядке, предусмотренном </w:t>
      </w:r>
      <w:hyperlink w:anchor="P72" w:history="1">
        <w:r>
          <w:rPr>
            <w:color w:val="0000FF"/>
          </w:rPr>
          <w:t>пунктом 2.4</w:t>
        </w:r>
      </w:hyperlink>
      <w:r>
        <w:t xml:space="preserve"> настоящего Порядка. В этом случае на официальном сайте комитета в сети "Интернет" не позднее чем за пять рабочих дней до даты начала приема заявок публикуется информация о сроках приема заявок.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2.10. Перечисление субсидий осуществляется Комитетом финансов Ленинградской области ежеквартально в соответствии с прогнозом кассовых выплат областного бюджета Ленинградской области на основании заявки комитета на перечисление субсидии на расчетный счет Фонда, открытый в кредитной организации, в порядке, установленном законодательством Российской Федерации.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2.11. Значения показателей результативности предоставления субсидий (далее - показатели результативности) устанавливаются комитетом в соглашении.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2.12. Отчет о расходовании средств субсидии и достижении показателей результативности направляется Фондом в комитет по форме и в сроки, установленные соглашением.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К отчету прилагаются подтверждающие документы, содержащие данные, использованные для расчета значений показателей результативности, а также пояснительная записка, в которой указывается информация о произведенных расчетах по показателям результативности, о выполненных за отчетный период мероприятиях, повлиявших на достижение показателей результативности, о произведенных расходах.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lastRenderedPageBreak/>
        <w:t>Фонд представляет в комитет и Комитет финансов Ленинградской области не позднее 1 июня года, следующего за отчетным, заключение ревизионной комиссии Фонда о результатах проверки финансово-хозяйственной деятельности и утвержденный в соответствии с уставом Фонда годовой отчет о деятельности Фонда.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2.13. В случае наличия неиспользованного остатка субсидий за предыдущий финансовый год Фонд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2.14.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этих средств.</w:t>
      </w:r>
    </w:p>
    <w:p w:rsidR="003B544C" w:rsidRDefault="003B544C">
      <w:pPr>
        <w:pStyle w:val="ConsPlusNormal"/>
        <w:ind w:firstLine="540"/>
        <w:jc w:val="both"/>
      </w:pPr>
    </w:p>
    <w:p w:rsidR="003B544C" w:rsidRDefault="003B544C">
      <w:pPr>
        <w:pStyle w:val="ConsPlusTitle"/>
        <w:jc w:val="center"/>
        <w:outlineLvl w:val="1"/>
      </w:pPr>
      <w:r>
        <w:t>3. Контроль за соблюдением условий, целей и порядка</w:t>
      </w:r>
    </w:p>
    <w:p w:rsidR="003B544C" w:rsidRDefault="003B544C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3B544C" w:rsidRDefault="003B544C">
      <w:pPr>
        <w:pStyle w:val="ConsPlusNormal"/>
        <w:jc w:val="center"/>
      </w:pPr>
    </w:p>
    <w:p w:rsidR="003B544C" w:rsidRDefault="003B544C">
      <w:pPr>
        <w:pStyle w:val="ConsPlusNormal"/>
        <w:ind w:firstLine="540"/>
        <w:jc w:val="both"/>
      </w:pPr>
      <w:r>
        <w:t>3.1. Комитетом и органом государственного финансового контроля Ленинградской области осуществляется обязательная проверка соблюдения Фондом условий, целей и порядка предоставления субсидий.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3.2.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условий, целей и порядка предоставления субсидий, а также недостижения показателей результативности возврат средств в областной бюджет Ленинградской области осуществляется Фондом в добровольном порядке в течение 10 рабочих дней с даты получения письменного требования комитета или органа государственного финансового контроля Ленинградской области.</w:t>
      </w:r>
    </w:p>
    <w:p w:rsidR="003B544C" w:rsidRDefault="003B544C">
      <w:pPr>
        <w:pStyle w:val="ConsPlusNormal"/>
        <w:spacing w:before="220"/>
        <w:ind w:firstLine="540"/>
        <w:jc w:val="both"/>
      </w:pPr>
      <w:r>
        <w:t>3.3. В случае неперечисления Фондом средств субсидии в областной бюджет Ленинградской области в течение 10 рабочих дней с даты получения письменного требования комитета и(или)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rmal"/>
        <w:jc w:val="right"/>
        <w:outlineLvl w:val="1"/>
      </w:pPr>
      <w:r>
        <w:t>Приложение</w:t>
      </w:r>
    </w:p>
    <w:p w:rsidR="003B544C" w:rsidRDefault="003B544C">
      <w:pPr>
        <w:pStyle w:val="ConsPlusNormal"/>
        <w:jc w:val="right"/>
      </w:pPr>
      <w:r>
        <w:t>к Порядку...</w:t>
      </w:r>
    </w:p>
    <w:p w:rsidR="003B544C" w:rsidRDefault="003B544C">
      <w:pPr>
        <w:pStyle w:val="ConsPlusNormal"/>
        <w:jc w:val="right"/>
      </w:pPr>
    </w:p>
    <w:p w:rsidR="003B544C" w:rsidRDefault="003B544C">
      <w:pPr>
        <w:pStyle w:val="ConsPlusNonformat"/>
        <w:jc w:val="both"/>
      </w:pPr>
      <w:r>
        <w:t xml:space="preserve">                                                     В комитет</w:t>
      </w:r>
    </w:p>
    <w:p w:rsidR="003B544C" w:rsidRDefault="003B544C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3B544C" w:rsidRDefault="003B544C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3B544C" w:rsidRDefault="003B544C">
      <w:pPr>
        <w:pStyle w:val="ConsPlusNonformat"/>
        <w:jc w:val="both"/>
      </w:pPr>
    </w:p>
    <w:p w:rsidR="003B544C" w:rsidRDefault="003B544C">
      <w:pPr>
        <w:pStyle w:val="ConsPlusNonformat"/>
        <w:jc w:val="both"/>
      </w:pPr>
      <w:bookmarkStart w:id="6" w:name="P109"/>
      <w:bookmarkEnd w:id="6"/>
      <w:r>
        <w:t xml:space="preserve">                                  ЗАЯВКА</w:t>
      </w:r>
    </w:p>
    <w:p w:rsidR="003B544C" w:rsidRDefault="003B544C">
      <w:pPr>
        <w:pStyle w:val="ConsPlusNonformat"/>
        <w:jc w:val="both"/>
      </w:pPr>
    </w:p>
    <w:p w:rsidR="003B544C" w:rsidRDefault="003B544C">
      <w:pPr>
        <w:pStyle w:val="ConsPlusNonformat"/>
        <w:jc w:val="both"/>
      </w:pPr>
      <w:r>
        <w:t xml:space="preserve">    Прошу   рассмотреть   вопрос  о  предоставлении в ______ году  субсидии</w:t>
      </w:r>
    </w:p>
    <w:p w:rsidR="003B544C" w:rsidRDefault="003B544C">
      <w:pPr>
        <w:pStyle w:val="ConsPlusNonformat"/>
        <w:jc w:val="both"/>
      </w:pPr>
      <w:r>
        <w:t>на имущественный взнос Ленинградской области ______________________________</w:t>
      </w:r>
    </w:p>
    <w:p w:rsidR="003B544C" w:rsidRDefault="003B544C">
      <w:pPr>
        <w:pStyle w:val="ConsPlusNonformat"/>
        <w:jc w:val="both"/>
      </w:pPr>
      <w:r>
        <w:t>___________________________________________________________________________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3B544C" w:rsidRDefault="003B544C">
      <w:pPr>
        <w:pStyle w:val="ConsPlusNonformat"/>
        <w:jc w:val="both"/>
      </w:pPr>
      <w:r>
        <w:t>____________________________________________ дает согласие на осуществление</w:t>
      </w:r>
    </w:p>
    <w:p w:rsidR="003B544C" w:rsidRDefault="003B544C">
      <w:pPr>
        <w:pStyle w:val="ConsPlusNonformat"/>
        <w:jc w:val="both"/>
      </w:pPr>
      <w:r>
        <w:t xml:space="preserve">    (наименование получателя субсидии)</w:t>
      </w:r>
    </w:p>
    <w:p w:rsidR="003B544C" w:rsidRDefault="003B544C">
      <w:pPr>
        <w:pStyle w:val="ConsPlusNonformat"/>
        <w:jc w:val="both"/>
      </w:pPr>
      <w:r>
        <w:t>в отношении  его комитетом по жилищно-коммунальному хозяйству Ленинградской</w:t>
      </w:r>
    </w:p>
    <w:p w:rsidR="003B544C" w:rsidRDefault="003B544C">
      <w:pPr>
        <w:pStyle w:val="ConsPlusNonformat"/>
        <w:jc w:val="both"/>
      </w:pPr>
      <w:r>
        <w:lastRenderedPageBreak/>
        <w:t>области  и  органом  государственного  финансового  контроля  Ленинградской</w:t>
      </w:r>
    </w:p>
    <w:p w:rsidR="003B544C" w:rsidRDefault="003B544C">
      <w:pPr>
        <w:pStyle w:val="ConsPlusNonformat"/>
        <w:jc w:val="both"/>
      </w:pPr>
      <w:r>
        <w:t>области   проверок  соблюдения  условий,  целей  и  порядка  предоставления</w:t>
      </w:r>
    </w:p>
    <w:p w:rsidR="003B544C" w:rsidRDefault="003B544C">
      <w:pPr>
        <w:pStyle w:val="ConsPlusNonformat"/>
        <w:jc w:val="both"/>
      </w:pPr>
      <w:r>
        <w:t>субсидий.</w:t>
      </w:r>
    </w:p>
    <w:p w:rsidR="003B544C" w:rsidRDefault="003B544C">
      <w:pPr>
        <w:pStyle w:val="ConsPlusNonformat"/>
        <w:jc w:val="both"/>
      </w:pPr>
    </w:p>
    <w:p w:rsidR="003B544C" w:rsidRDefault="003B544C">
      <w:pPr>
        <w:pStyle w:val="ConsPlusNonformat"/>
        <w:jc w:val="both"/>
      </w:pPr>
      <w:r>
        <w:t xml:space="preserve">    Приложение:</w:t>
      </w:r>
    </w:p>
    <w:p w:rsidR="003B544C" w:rsidRDefault="003B544C">
      <w:pPr>
        <w:pStyle w:val="ConsPlusNonformat"/>
        <w:jc w:val="both"/>
      </w:pPr>
      <w:r>
        <w:t xml:space="preserve">   (перечисляются прилагаемые документы)</w:t>
      </w:r>
    </w:p>
    <w:p w:rsidR="003B544C" w:rsidRDefault="003B544C">
      <w:pPr>
        <w:pStyle w:val="ConsPlusNonformat"/>
        <w:jc w:val="both"/>
      </w:pPr>
    </w:p>
    <w:p w:rsidR="003B544C" w:rsidRDefault="003B544C">
      <w:pPr>
        <w:pStyle w:val="ConsPlusNonformat"/>
        <w:jc w:val="both"/>
      </w:pPr>
      <w:r>
        <w:t xml:space="preserve">    1._____________________________________________________________________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2._____________________________________________________________________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3._____________________________________________________________________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4._____________________________________________________________________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5._____________________________________________________________________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6._____________________________________________________________________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7._____________________________________________________________________</w:t>
      </w:r>
    </w:p>
    <w:p w:rsidR="003B544C" w:rsidRDefault="003B544C">
      <w:pPr>
        <w:pStyle w:val="ConsPlusNonformat"/>
        <w:jc w:val="both"/>
      </w:pPr>
      <w:r>
        <w:t xml:space="preserve">    8._____________________________________________________________________</w:t>
      </w:r>
    </w:p>
    <w:p w:rsidR="003B544C" w:rsidRDefault="003B544C">
      <w:pPr>
        <w:pStyle w:val="ConsPlusNonformat"/>
        <w:jc w:val="both"/>
      </w:pPr>
    </w:p>
    <w:p w:rsidR="003B544C" w:rsidRDefault="003B544C">
      <w:pPr>
        <w:pStyle w:val="ConsPlusNonformat"/>
        <w:jc w:val="both"/>
      </w:pPr>
      <w:r>
        <w:t>___________________________________  ________________________  ____________</w:t>
      </w:r>
    </w:p>
    <w:p w:rsidR="003B544C" w:rsidRDefault="003B544C">
      <w:pPr>
        <w:pStyle w:val="ConsPlusNonformat"/>
        <w:jc w:val="both"/>
      </w:pPr>
      <w:r>
        <w:t>(лицо, уполномоченное на подписание  (фамилия, имя, отчество)   (подпись)</w:t>
      </w:r>
    </w:p>
    <w:p w:rsidR="003B544C" w:rsidRDefault="003B544C">
      <w:pPr>
        <w:pStyle w:val="ConsPlusNonformat"/>
        <w:jc w:val="both"/>
      </w:pPr>
      <w:r>
        <w:t xml:space="preserve">          заявки)</w:t>
      </w:r>
    </w:p>
    <w:p w:rsidR="003B544C" w:rsidRDefault="003B544C">
      <w:pPr>
        <w:pStyle w:val="ConsPlusNonformat"/>
        <w:jc w:val="both"/>
      </w:pPr>
    </w:p>
    <w:p w:rsidR="003B544C" w:rsidRDefault="003B544C">
      <w:pPr>
        <w:pStyle w:val="ConsPlusNonformat"/>
        <w:jc w:val="both"/>
      </w:pPr>
      <w:r>
        <w:t xml:space="preserve">     Место печати</w:t>
      </w:r>
    </w:p>
    <w:p w:rsidR="003B544C" w:rsidRDefault="003B544C">
      <w:pPr>
        <w:pStyle w:val="ConsPlusNormal"/>
        <w:ind w:firstLine="540"/>
        <w:jc w:val="both"/>
      </w:pPr>
    </w:p>
    <w:p w:rsidR="003B544C" w:rsidRDefault="003B544C">
      <w:pPr>
        <w:pStyle w:val="ConsPlusNormal"/>
        <w:ind w:firstLine="540"/>
        <w:jc w:val="both"/>
      </w:pPr>
    </w:p>
    <w:p w:rsidR="003B544C" w:rsidRDefault="003B54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3B544C">
      <w:bookmarkStart w:id="7" w:name="_GoBack"/>
      <w:bookmarkEnd w:id="7"/>
    </w:p>
    <w:sectPr w:rsidR="00F5569D" w:rsidSect="00F9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C"/>
    <w:rsid w:val="0002479B"/>
    <w:rsid w:val="000D59AF"/>
    <w:rsid w:val="002017CD"/>
    <w:rsid w:val="00342600"/>
    <w:rsid w:val="003B544C"/>
    <w:rsid w:val="00426CE6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3242-1DF2-451C-9402-AEE80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AE00755C874CAA7022877A99B9A7B49C2A841FBB3696D10D9F8EF4EF16C145A72AFFA8h9zAI" TargetMode="External"/><Relationship Id="rId13" Type="http://schemas.openxmlformats.org/officeDocument/2006/relationships/hyperlink" Target="consultantplus://offline/ref=A1C7E49E47ED8C8B8665B111605C874CAB7020817D9FB9A7B49C2A841FBB3696C30DC782F5EF08C042B27CAEEECF09196DCBF6CF01A383B9h6z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7E49E47ED8C8B8665AE00755C874CAA732687759BB9A7B49C2A841FBB3696C30DC780F6EF039513FD7DF2AB9A1A186ACBF4C81DhAz1I" TargetMode="External"/><Relationship Id="rId12" Type="http://schemas.openxmlformats.org/officeDocument/2006/relationships/hyperlink" Target="consultantplus://offline/ref=A1C7E49E47ED8C8B8665B111605C874CAB732589749AB9A7B49C2A841FBB3696C30DC782F5EF08C545B27CAEEECF09196DCBF6CF01A383B9h6z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E49E47ED8C8B8665AE00755C874CAA7325827A9FB9A7B49C2A841FBB3696C30DC782F5EC0CC243B27CAEEECF09196DCBF6CF01A383B9h6z9I" TargetMode="External"/><Relationship Id="rId11" Type="http://schemas.openxmlformats.org/officeDocument/2006/relationships/hyperlink" Target="consultantplus://offline/ref=A1C7E49E47ED8C8B8665B111605C874CAB712084789BB9A7B49C2A841FBB3696C30DC782F5EF08C04BB27CAEEECF09196DCBF6CF01A383B9h6z9I" TargetMode="External"/><Relationship Id="rId5" Type="http://schemas.openxmlformats.org/officeDocument/2006/relationships/hyperlink" Target="consultantplus://offline/ref=A1C7E49E47ED8C8B8665B111605C874CAB732589749AB9A7B49C2A841FBB3696C30DC782F5EF08C545B27CAEEECF09196DCBF6CF01A383B9h6z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C7E49E47ED8C8B8665B111605C874CA87621827E90B9A7B49C2A841FBB3696D10D9F8EF4EF16C145A72AFFA8h9z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C7E49E47ED8C8B8665B111605C874CAB7022877491B9A7B49C2A841FBB3696C30DC782F5EF09C144B27CAEEECF09196DCBF6CF01A383B9h6z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2020-07-10T08:51:00Z</dcterms:created>
  <dcterms:modified xsi:type="dcterms:W3CDTF">2020-07-10T08:51:00Z</dcterms:modified>
</cp:coreProperties>
</file>